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06F" w:rsidRPr="00F8706F" w:rsidRDefault="00F8706F" w:rsidP="00F8706F">
      <w:pPr>
        <w:jc w:val="both"/>
        <w:rPr>
          <w:rFonts w:ascii="Times New Roman" w:hAnsi="Times New Roman" w:cs="Times New Roman"/>
          <w:sz w:val="28"/>
          <w:szCs w:val="28"/>
        </w:rPr>
      </w:pPr>
      <w:r>
        <w:rPr>
          <w:rFonts w:ascii="Times New Roman" w:hAnsi="Times New Roman" w:cs="Times New Roman"/>
          <w:sz w:val="28"/>
          <w:szCs w:val="28"/>
        </w:rPr>
        <w:t>Продолжение за 21.10.24</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noProof/>
          <w:sz w:val="28"/>
          <w:szCs w:val="28"/>
        </w:rPr>
        <w:drawing>
          <wp:inline distT="0" distB="0" distL="0" distR="0">
            <wp:extent cx="4527322" cy="3474720"/>
            <wp:effectExtent l="19050" t="0" r="6578" b="0"/>
            <wp:docPr id="10" name="Рисунок 10" descr="https://stankiexpert.ru/wp-content/uploads/2019/06/bazirovanie-zagotovok-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ankiexpert.ru/wp-content/uploads/2019/06/bazirovanie-zagotovok-7.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29216" cy="3476174"/>
                    </a:xfrm>
                    <a:prstGeom prst="rect">
                      <a:avLst/>
                    </a:prstGeom>
                    <a:noFill/>
                    <a:ln>
                      <a:noFill/>
                    </a:ln>
                  </pic:spPr>
                </pic:pic>
              </a:graphicData>
            </a:graphic>
          </wp:inline>
        </w:drawing>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В начале процедуры базирование диск крепится на кулачках патрона. Торец детали обтачивают до кулачков. Внешнюю поверхность, оставшуюся необработанной, подрезают. Для достижения лучшей точности используется чистое обтачивание, во время которого заготовка крепится посредством прижима трения. Диск должен прижиматься либо к кулачкам патрона, либо к его оправе. Опорные базы детали размещаются максимально близко к обрабатываемой поверхности зубьев. Шестерни диска обрабатываются в сложенном состоянии на станках. При их базировании используются инструменты – монеты.</w:t>
      </w:r>
    </w:p>
    <w:p w:rsidR="00F8706F" w:rsidRPr="00F8706F" w:rsidRDefault="00F8706F" w:rsidP="00F8706F">
      <w:pPr>
        <w:jc w:val="center"/>
        <w:rPr>
          <w:rFonts w:ascii="Times New Roman" w:hAnsi="Times New Roman" w:cs="Times New Roman"/>
          <w:b/>
          <w:sz w:val="28"/>
          <w:szCs w:val="28"/>
        </w:rPr>
      </w:pPr>
      <w:r w:rsidRPr="00F8706F">
        <w:rPr>
          <w:rFonts w:ascii="Times New Roman" w:hAnsi="Times New Roman" w:cs="Times New Roman"/>
          <w:b/>
          <w:sz w:val="28"/>
          <w:szCs w:val="28"/>
        </w:rPr>
        <w:t>Расчет погрешности базирования заготовки в приспособлении</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Погрешностью базирования называется отклонение конструкции заготовки относительно заданного местоположения. Она применяется во время обработки, эксплуатации и настройки детали на токарных или фрезерных станках. Выделяют следующие разновидности погрешности базирования заготовки:</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Погрешность закрепления: возникает при зажатии детали на столе станка. Во время этого процесса происходит смещение установочных баз, лимитирующих движение заготовки. Погрешность закрепления обусловлена неправильным использованием установочных приборов и зажимов. Данные факторы приводят к деформации заготовленного материала.</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lastRenderedPageBreak/>
        <w:t>Погрешность установки: появляется после закрепления изделия на станковом оборудовании. Ее возникновение обусловлено несоответствие форм базовых поверхностей и наличие большого количества металлической стружки, образующейся во время нарезания детали. Происходит засорение обрабатываемой поверхности и последующее отклонение детали. Для минимизации погрешности заготовки важно следовать принципам постоянства и смещения базовых поверхностей.</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Систематическая погрешность: образуется из-за человеческого фактора - наблюдательности и аккуратности мастера, выполняющего настройку инструментов. Она возникает при нарушениях во время измерения размерных характеристик детали, написании неправильных чертежей и схем базирования и упрощении формул, необходимых для проведения расчетов.</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На величину погрешности и точность обработки оказывают непосредственное влияние следующие факторы:</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Разница между действительными и номинальными размерами заготовки.</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Значение отклонения устанавливаемых конструкций относительно их взаимных расположений: перпендикулярности, концентричности и параллельности.</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Поломка станков и иных приспособлений, использующихся во время базирования. Неисправность оборудования обусловлена несоблюдением правил эксплуатации или недочетами, возникшими во время производства несущих конструкций приборов. Эти факторы приводят к возникновению зазоров на винтах и шпинделях установочного оборудования.</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Изменение формы заготовки, произошедшие до проведения процедуры обработки. Они обусловлены внешними повреждениями конструкции или неправильным местоположением изделия.</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Во время определения величины отклонения важно учитывать, что действительная погрешность обязана быть меньше допустимых значений. Результат расчетов всегда является неточным.</w:t>
      </w:r>
    </w:p>
    <w:p w:rsidR="00F8706F" w:rsidRPr="00F8706F" w:rsidRDefault="00F8706F" w:rsidP="00F8706F">
      <w:pPr>
        <w:jc w:val="center"/>
        <w:rPr>
          <w:rFonts w:ascii="Times New Roman" w:hAnsi="Times New Roman" w:cs="Times New Roman"/>
          <w:sz w:val="28"/>
          <w:szCs w:val="28"/>
        </w:rPr>
      </w:pPr>
      <w:r w:rsidRPr="00F8706F">
        <w:rPr>
          <w:rFonts w:ascii="Times New Roman" w:hAnsi="Times New Roman" w:cs="Times New Roman"/>
          <w:sz w:val="28"/>
          <w:szCs w:val="28"/>
        </w:rPr>
        <w:t>Расчет погрешности базирования</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При проектировании технологического процесса механической обработки технолог выбирает установочные базы обрабатываемой детали и определяет суммарную погрешность на механическую операцию, от которых зависит точность обработки детали.</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lastRenderedPageBreak/>
        <w:t>Суммарная погрешность приспособления при выполнении любой операции механической обработки состоит из погрешностей: установки детали, базирования и закрепления.</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При обработке наружных цилиндрических поверхностей деталей тел вращения формула для определения погрешности приспособления имеет вид:</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noProof/>
          <w:sz w:val="28"/>
          <w:szCs w:val="28"/>
        </w:rPr>
        <w:drawing>
          <wp:inline distT="0" distB="0" distL="0" distR="0">
            <wp:extent cx="2171700" cy="352425"/>
            <wp:effectExtent l="0" t="0" r="0" b="9525"/>
            <wp:docPr id="1" name="Рисунок 1" descr="Погрешность базирования: понятие, методики, форму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грешность базирования: понятие, методики, формулы"/>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1700" cy="352425"/>
                    </a:xfrm>
                    <a:prstGeom prst="rect">
                      <a:avLst/>
                    </a:prstGeom>
                    <a:noFill/>
                    <a:ln>
                      <a:noFill/>
                    </a:ln>
                  </pic:spPr>
                </pic:pic>
              </a:graphicData>
            </a:graphic>
          </wp:inline>
        </w:drawing>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где </w:t>
      </w:r>
      <w:proofErr w:type="spellStart"/>
      <w:r w:rsidRPr="00F8706F">
        <w:rPr>
          <w:rFonts w:ascii="Times New Roman" w:hAnsi="Times New Roman" w:cs="Times New Roman"/>
          <w:i/>
          <w:iCs/>
          <w:sz w:val="28"/>
          <w:szCs w:val="28"/>
          <w:bdr w:val="none" w:sz="0" w:space="0" w:color="auto" w:frame="1"/>
        </w:rPr>
        <w:t>ε</w:t>
      </w:r>
      <w:r w:rsidRPr="00F8706F">
        <w:rPr>
          <w:rFonts w:ascii="Times New Roman" w:hAnsi="Times New Roman" w:cs="Times New Roman"/>
          <w:i/>
          <w:iCs/>
          <w:sz w:val="28"/>
          <w:szCs w:val="28"/>
          <w:bdr w:val="none" w:sz="0" w:space="0" w:color="auto" w:frame="1"/>
          <w:vertAlign w:val="subscript"/>
        </w:rPr>
        <w:t>уст</w:t>
      </w:r>
      <w:proofErr w:type="spellEnd"/>
      <w:r w:rsidRPr="00F8706F">
        <w:rPr>
          <w:rFonts w:ascii="Times New Roman" w:hAnsi="Times New Roman" w:cs="Times New Roman"/>
          <w:sz w:val="28"/>
          <w:szCs w:val="28"/>
        </w:rPr>
        <w:t> – погрешность установки;</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i/>
          <w:iCs/>
          <w:sz w:val="28"/>
          <w:szCs w:val="28"/>
          <w:bdr w:val="none" w:sz="0" w:space="0" w:color="auto" w:frame="1"/>
        </w:rPr>
        <w:t>ε</w:t>
      </w:r>
      <w:r w:rsidRPr="00F8706F">
        <w:rPr>
          <w:rFonts w:ascii="Times New Roman" w:hAnsi="Times New Roman" w:cs="Times New Roman"/>
          <w:i/>
          <w:iCs/>
          <w:sz w:val="28"/>
          <w:szCs w:val="28"/>
          <w:bdr w:val="none" w:sz="0" w:space="0" w:color="auto" w:frame="1"/>
          <w:vertAlign w:val="subscript"/>
        </w:rPr>
        <w:t>баз</w:t>
      </w:r>
      <w:r w:rsidRPr="00F8706F">
        <w:rPr>
          <w:rFonts w:ascii="Times New Roman" w:hAnsi="Times New Roman" w:cs="Times New Roman"/>
          <w:i/>
          <w:iCs/>
          <w:sz w:val="28"/>
          <w:szCs w:val="28"/>
          <w:bdr w:val="none" w:sz="0" w:space="0" w:color="auto" w:frame="1"/>
        </w:rPr>
        <w:t> </w:t>
      </w:r>
      <w:r w:rsidRPr="00F8706F">
        <w:rPr>
          <w:rFonts w:ascii="Times New Roman" w:hAnsi="Times New Roman" w:cs="Times New Roman"/>
          <w:sz w:val="28"/>
          <w:szCs w:val="28"/>
        </w:rPr>
        <w:t>– погрешность базирования;</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i/>
          <w:iCs/>
          <w:sz w:val="28"/>
          <w:szCs w:val="28"/>
          <w:bdr w:val="none" w:sz="0" w:space="0" w:color="auto" w:frame="1"/>
        </w:rPr>
        <w:t>ε</w:t>
      </w:r>
      <w:r w:rsidRPr="00F8706F">
        <w:rPr>
          <w:rFonts w:ascii="Times New Roman" w:hAnsi="Times New Roman" w:cs="Times New Roman"/>
          <w:i/>
          <w:iCs/>
          <w:sz w:val="28"/>
          <w:szCs w:val="28"/>
          <w:bdr w:val="none" w:sz="0" w:space="0" w:color="auto" w:frame="1"/>
          <w:vertAlign w:val="subscript"/>
        </w:rPr>
        <w:t>закр</w:t>
      </w:r>
      <w:r w:rsidRPr="00F8706F">
        <w:rPr>
          <w:rFonts w:ascii="Times New Roman" w:hAnsi="Times New Roman" w:cs="Times New Roman"/>
          <w:i/>
          <w:iCs/>
          <w:sz w:val="28"/>
          <w:szCs w:val="28"/>
          <w:bdr w:val="none" w:sz="0" w:space="0" w:color="auto" w:frame="1"/>
        </w:rPr>
        <w:t> </w:t>
      </w:r>
      <w:r w:rsidRPr="00F8706F">
        <w:rPr>
          <w:rFonts w:ascii="Times New Roman" w:hAnsi="Times New Roman" w:cs="Times New Roman"/>
          <w:sz w:val="28"/>
          <w:szCs w:val="28"/>
        </w:rPr>
        <w:t>– погрешность закрепления.</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При обработке плоских поверхностей деталей формула для определения погрешности приспособления имеет вид:</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noProof/>
          <w:sz w:val="28"/>
          <w:szCs w:val="28"/>
        </w:rPr>
        <w:drawing>
          <wp:inline distT="0" distB="0" distL="0" distR="0">
            <wp:extent cx="2009775" cy="314325"/>
            <wp:effectExtent l="0" t="0" r="9525" b="9525"/>
            <wp:docPr id="4" name="Рисунок 4" descr="Погрешность базирования: понятие, методики, форму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грешность базирования: понятие, методики, формулы"/>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9775" cy="314325"/>
                    </a:xfrm>
                    <a:prstGeom prst="rect">
                      <a:avLst/>
                    </a:prstGeom>
                    <a:noFill/>
                    <a:ln>
                      <a:noFill/>
                    </a:ln>
                  </pic:spPr>
                </pic:pic>
              </a:graphicData>
            </a:graphic>
          </wp:inline>
        </w:drawing>
      </w:r>
    </w:p>
    <w:p w:rsidR="00F8706F" w:rsidRPr="00F8706F" w:rsidRDefault="00F8706F" w:rsidP="00F8706F">
      <w:pPr>
        <w:pStyle w:val="a3"/>
        <w:rPr>
          <w:sz w:val="28"/>
          <w:szCs w:val="28"/>
        </w:rPr>
      </w:pPr>
      <w:r w:rsidRPr="00F8706F">
        <w:rPr>
          <w:sz w:val="28"/>
          <w:szCs w:val="28"/>
        </w:rPr>
        <w:t>Погрешность закрепления </w:t>
      </w:r>
      <w:proofErr w:type="spellStart"/>
      <w:r w:rsidRPr="00F8706F">
        <w:rPr>
          <w:i/>
          <w:iCs/>
          <w:sz w:val="28"/>
          <w:szCs w:val="28"/>
          <w:bdr w:val="none" w:sz="0" w:space="0" w:color="auto" w:frame="1"/>
        </w:rPr>
        <w:t>ε</w:t>
      </w:r>
      <w:r w:rsidRPr="00F8706F">
        <w:rPr>
          <w:i/>
          <w:iCs/>
          <w:sz w:val="28"/>
          <w:szCs w:val="28"/>
          <w:bdr w:val="none" w:sz="0" w:space="0" w:color="auto" w:frame="1"/>
          <w:vertAlign w:val="subscript"/>
        </w:rPr>
        <w:t>закр</w:t>
      </w:r>
      <w:proofErr w:type="spellEnd"/>
      <w:r w:rsidRPr="00F8706F">
        <w:rPr>
          <w:i/>
          <w:iCs/>
          <w:sz w:val="28"/>
          <w:szCs w:val="28"/>
          <w:bdr w:val="none" w:sz="0" w:space="0" w:color="auto" w:frame="1"/>
        </w:rPr>
        <w:t> </w:t>
      </w:r>
      <w:r w:rsidRPr="00F8706F">
        <w:rPr>
          <w:sz w:val="28"/>
          <w:szCs w:val="28"/>
        </w:rPr>
        <w:t>возникает в результате смещения обрабатываемых поверхностей заготовок от действия зажимной силы. Это смещение, если оно и велико, но постоянно по величине, может быть учтено настройкой станка. В ряде случаев, особенно когда применяются пневматические, гидравлические, электромеханические и другие зажимные устройства, обеспечивающие постоянство усилий зажима, погрешность закрепления можно исключить из расчетов.</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Значения погрешностей закрепления для различных видов обработки в зависимости от обрабатываемого материала и технологической оснастки приводятся в таблицах справочника.</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Погрешность базирования </w:t>
      </w:r>
      <w:proofErr w:type="spellStart"/>
      <w:r w:rsidRPr="00F8706F">
        <w:rPr>
          <w:rFonts w:ascii="Times New Roman" w:hAnsi="Times New Roman" w:cs="Times New Roman"/>
          <w:i/>
          <w:iCs/>
          <w:sz w:val="28"/>
          <w:szCs w:val="28"/>
          <w:bdr w:val="none" w:sz="0" w:space="0" w:color="auto" w:frame="1"/>
        </w:rPr>
        <w:t>ε</w:t>
      </w:r>
      <w:r w:rsidRPr="00F8706F">
        <w:rPr>
          <w:rFonts w:ascii="Times New Roman" w:hAnsi="Times New Roman" w:cs="Times New Roman"/>
          <w:i/>
          <w:iCs/>
          <w:sz w:val="28"/>
          <w:szCs w:val="28"/>
          <w:bdr w:val="none" w:sz="0" w:space="0" w:color="auto" w:frame="1"/>
          <w:vertAlign w:val="subscript"/>
        </w:rPr>
        <w:t>баз</w:t>
      </w:r>
      <w:proofErr w:type="spellEnd"/>
      <w:r w:rsidRPr="00F8706F">
        <w:rPr>
          <w:rFonts w:ascii="Times New Roman" w:hAnsi="Times New Roman" w:cs="Times New Roman"/>
          <w:i/>
          <w:iCs/>
          <w:sz w:val="28"/>
          <w:szCs w:val="28"/>
          <w:bdr w:val="none" w:sz="0" w:space="0" w:color="auto" w:frame="1"/>
          <w:vertAlign w:val="subscript"/>
        </w:rPr>
        <w:t> </w:t>
      </w:r>
      <w:r w:rsidRPr="00F8706F">
        <w:rPr>
          <w:rFonts w:ascii="Times New Roman" w:hAnsi="Times New Roman" w:cs="Times New Roman"/>
          <w:sz w:val="28"/>
          <w:szCs w:val="28"/>
        </w:rPr>
        <w:t xml:space="preserve">имеет место при </w:t>
      </w:r>
      <w:proofErr w:type="spellStart"/>
      <w:r w:rsidRPr="00F8706F">
        <w:rPr>
          <w:rFonts w:ascii="Times New Roman" w:hAnsi="Times New Roman" w:cs="Times New Roman"/>
          <w:sz w:val="28"/>
          <w:szCs w:val="28"/>
        </w:rPr>
        <w:t>несовмещении</w:t>
      </w:r>
      <w:proofErr w:type="spellEnd"/>
      <w:r w:rsidRPr="00F8706F">
        <w:rPr>
          <w:rFonts w:ascii="Times New Roman" w:hAnsi="Times New Roman" w:cs="Times New Roman"/>
          <w:sz w:val="28"/>
          <w:szCs w:val="28"/>
        </w:rPr>
        <w:t xml:space="preserve"> установочной и технологической баз и зависит от допуска и погрешности формы базовых поверхностей. Формулы для определения погрешности приводятся в справочной литературе.</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Погрешность установки </w:t>
      </w:r>
      <w:proofErr w:type="spellStart"/>
      <w:r w:rsidRPr="00F8706F">
        <w:rPr>
          <w:rFonts w:ascii="Times New Roman" w:hAnsi="Times New Roman" w:cs="Times New Roman"/>
          <w:i/>
          <w:iCs/>
          <w:sz w:val="28"/>
          <w:szCs w:val="28"/>
          <w:bdr w:val="none" w:sz="0" w:space="0" w:color="auto" w:frame="1"/>
        </w:rPr>
        <w:t>ε</w:t>
      </w:r>
      <w:r w:rsidRPr="00F8706F">
        <w:rPr>
          <w:rFonts w:ascii="Times New Roman" w:hAnsi="Times New Roman" w:cs="Times New Roman"/>
          <w:i/>
          <w:iCs/>
          <w:sz w:val="28"/>
          <w:szCs w:val="28"/>
          <w:bdr w:val="none" w:sz="0" w:space="0" w:color="auto" w:frame="1"/>
          <w:vertAlign w:val="subscript"/>
        </w:rPr>
        <w:t>уст</w:t>
      </w:r>
      <w:proofErr w:type="spellEnd"/>
      <w:r w:rsidRPr="00F8706F">
        <w:rPr>
          <w:rFonts w:ascii="Times New Roman" w:hAnsi="Times New Roman" w:cs="Times New Roman"/>
          <w:sz w:val="28"/>
          <w:szCs w:val="28"/>
        </w:rPr>
        <w:t xml:space="preserve"> возникает при установке обрабатываемой детали в </w:t>
      </w:r>
      <w:proofErr w:type="gramStart"/>
      <w:r w:rsidRPr="00F8706F">
        <w:rPr>
          <w:rFonts w:ascii="Times New Roman" w:hAnsi="Times New Roman" w:cs="Times New Roman"/>
          <w:sz w:val="28"/>
          <w:szCs w:val="28"/>
        </w:rPr>
        <w:t>приспособлении</w:t>
      </w:r>
      <w:proofErr w:type="gramEnd"/>
      <w:r w:rsidRPr="00F8706F">
        <w:rPr>
          <w:rFonts w:ascii="Times New Roman" w:hAnsi="Times New Roman" w:cs="Times New Roman"/>
          <w:sz w:val="28"/>
          <w:szCs w:val="28"/>
        </w:rPr>
        <w:t xml:space="preserve"> и складываются из погрешности базирования </w:t>
      </w:r>
      <w:proofErr w:type="spellStart"/>
      <w:r w:rsidRPr="00F8706F">
        <w:rPr>
          <w:rFonts w:ascii="Times New Roman" w:hAnsi="Times New Roman" w:cs="Times New Roman"/>
          <w:i/>
          <w:iCs/>
          <w:sz w:val="28"/>
          <w:szCs w:val="28"/>
          <w:bdr w:val="none" w:sz="0" w:space="0" w:color="auto" w:frame="1"/>
        </w:rPr>
        <w:t>ε</w:t>
      </w:r>
      <w:r w:rsidRPr="00F8706F">
        <w:rPr>
          <w:rFonts w:ascii="Times New Roman" w:hAnsi="Times New Roman" w:cs="Times New Roman"/>
          <w:i/>
          <w:iCs/>
          <w:sz w:val="28"/>
          <w:szCs w:val="28"/>
          <w:bdr w:val="none" w:sz="0" w:space="0" w:color="auto" w:frame="1"/>
          <w:vertAlign w:val="subscript"/>
        </w:rPr>
        <w:t>баз</w:t>
      </w:r>
      <w:proofErr w:type="spellEnd"/>
      <w:r w:rsidRPr="00F8706F">
        <w:rPr>
          <w:rFonts w:ascii="Times New Roman" w:hAnsi="Times New Roman" w:cs="Times New Roman"/>
          <w:sz w:val="28"/>
          <w:szCs w:val="28"/>
        </w:rPr>
        <w:t>, погрешности закрепления </w:t>
      </w:r>
      <w:proofErr w:type="spellStart"/>
      <w:r w:rsidRPr="00F8706F">
        <w:rPr>
          <w:rFonts w:ascii="Times New Roman" w:hAnsi="Times New Roman" w:cs="Times New Roman"/>
          <w:i/>
          <w:iCs/>
          <w:sz w:val="28"/>
          <w:szCs w:val="28"/>
          <w:bdr w:val="none" w:sz="0" w:space="0" w:color="auto" w:frame="1"/>
        </w:rPr>
        <w:t>ε</w:t>
      </w:r>
      <w:r w:rsidRPr="00F8706F">
        <w:rPr>
          <w:rFonts w:ascii="Times New Roman" w:hAnsi="Times New Roman" w:cs="Times New Roman"/>
          <w:i/>
          <w:iCs/>
          <w:sz w:val="28"/>
          <w:szCs w:val="28"/>
          <w:bdr w:val="none" w:sz="0" w:space="0" w:color="auto" w:frame="1"/>
          <w:vertAlign w:val="subscript"/>
        </w:rPr>
        <w:t>закр</w:t>
      </w:r>
      <w:proofErr w:type="spellEnd"/>
      <w:r w:rsidRPr="00F8706F">
        <w:rPr>
          <w:rFonts w:ascii="Times New Roman" w:hAnsi="Times New Roman" w:cs="Times New Roman"/>
          <w:i/>
          <w:iCs/>
          <w:sz w:val="28"/>
          <w:szCs w:val="28"/>
          <w:bdr w:val="none" w:sz="0" w:space="0" w:color="auto" w:frame="1"/>
        </w:rPr>
        <w:t> </w:t>
      </w:r>
      <w:r w:rsidRPr="00F8706F">
        <w:rPr>
          <w:rFonts w:ascii="Times New Roman" w:hAnsi="Times New Roman" w:cs="Times New Roman"/>
          <w:sz w:val="28"/>
          <w:szCs w:val="28"/>
        </w:rPr>
        <w:t> и погрешности положения детали</w:t>
      </w:r>
      <w:r w:rsidRPr="00F8706F">
        <w:rPr>
          <w:rFonts w:ascii="Times New Roman" w:hAnsi="Times New Roman" w:cs="Times New Roman"/>
          <w:i/>
          <w:iCs/>
          <w:sz w:val="28"/>
          <w:szCs w:val="28"/>
          <w:bdr w:val="none" w:sz="0" w:space="0" w:color="auto" w:frame="1"/>
        </w:rPr>
        <w:t> </w:t>
      </w:r>
      <w:proofErr w:type="spellStart"/>
      <w:r w:rsidRPr="00F8706F">
        <w:rPr>
          <w:rFonts w:ascii="Times New Roman" w:hAnsi="Times New Roman" w:cs="Times New Roman"/>
          <w:i/>
          <w:iCs/>
          <w:sz w:val="28"/>
          <w:szCs w:val="28"/>
          <w:bdr w:val="none" w:sz="0" w:space="0" w:color="auto" w:frame="1"/>
        </w:rPr>
        <w:t>ε</w:t>
      </w:r>
      <w:r w:rsidRPr="00F8706F">
        <w:rPr>
          <w:rFonts w:ascii="Times New Roman" w:hAnsi="Times New Roman" w:cs="Times New Roman"/>
          <w:i/>
          <w:iCs/>
          <w:sz w:val="28"/>
          <w:szCs w:val="28"/>
          <w:bdr w:val="none" w:sz="0" w:space="0" w:color="auto" w:frame="1"/>
          <w:vertAlign w:val="subscript"/>
        </w:rPr>
        <w:t>пол</w:t>
      </w:r>
      <w:proofErr w:type="spellEnd"/>
      <w:r w:rsidRPr="00F8706F">
        <w:rPr>
          <w:rFonts w:ascii="Times New Roman" w:hAnsi="Times New Roman" w:cs="Times New Roman"/>
          <w:sz w:val="28"/>
          <w:szCs w:val="28"/>
        </w:rPr>
        <w:t xml:space="preserve">, зависящей от неточности приспособления и определяемой ошибками изготовления и сборки его установочных элементов и их износа при работе. </w:t>
      </w:r>
      <w:r w:rsidRPr="00F8706F">
        <w:rPr>
          <w:rFonts w:ascii="Times New Roman" w:hAnsi="Times New Roman" w:cs="Times New Roman"/>
          <w:sz w:val="28"/>
          <w:szCs w:val="28"/>
        </w:rPr>
        <w:lastRenderedPageBreak/>
        <w:t>Для однопозиционной обработки формула определения погрешности </w:t>
      </w:r>
      <w:proofErr w:type="spellStart"/>
      <w:r w:rsidRPr="00F8706F">
        <w:rPr>
          <w:rFonts w:ascii="Times New Roman" w:hAnsi="Times New Roman" w:cs="Times New Roman"/>
          <w:i/>
          <w:iCs/>
          <w:sz w:val="28"/>
          <w:szCs w:val="28"/>
          <w:bdr w:val="none" w:sz="0" w:space="0" w:color="auto" w:frame="1"/>
        </w:rPr>
        <w:t>ε</w:t>
      </w:r>
      <w:r w:rsidRPr="00F8706F">
        <w:rPr>
          <w:rFonts w:ascii="Times New Roman" w:hAnsi="Times New Roman" w:cs="Times New Roman"/>
          <w:i/>
          <w:iCs/>
          <w:sz w:val="28"/>
          <w:szCs w:val="28"/>
          <w:bdr w:val="none" w:sz="0" w:space="0" w:color="auto" w:frame="1"/>
          <w:vertAlign w:val="subscript"/>
        </w:rPr>
        <w:t>уст</w:t>
      </w:r>
      <w:proofErr w:type="spellEnd"/>
      <w:r w:rsidRPr="00F8706F">
        <w:rPr>
          <w:rFonts w:ascii="Times New Roman" w:hAnsi="Times New Roman" w:cs="Times New Roman"/>
          <w:sz w:val="28"/>
          <w:szCs w:val="28"/>
        </w:rPr>
        <w:t> имеет вид:</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noProof/>
          <w:sz w:val="28"/>
          <w:szCs w:val="28"/>
        </w:rPr>
        <w:drawing>
          <wp:inline distT="0" distB="0" distL="0" distR="0">
            <wp:extent cx="1400175" cy="314325"/>
            <wp:effectExtent l="0" t="0" r="9525" b="9525"/>
            <wp:docPr id="11" name="Рисунок 11" descr="Погрешность базирования: понятие, методики, форму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грешность базирования: понятие, методики, формулы"/>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0175" cy="314325"/>
                    </a:xfrm>
                    <a:prstGeom prst="rect">
                      <a:avLst/>
                    </a:prstGeom>
                    <a:noFill/>
                    <a:ln>
                      <a:noFill/>
                    </a:ln>
                  </pic:spPr>
                </pic:pic>
              </a:graphicData>
            </a:graphic>
          </wp:inline>
        </w:drawing>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Чтобы приспособление обеспечивало заданную точность обработки при работе на настроенном станке, необходимо выдержать следующую зависимость:</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noProof/>
          <w:sz w:val="28"/>
          <w:szCs w:val="28"/>
        </w:rPr>
        <w:drawing>
          <wp:inline distT="0" distB="0" distL="0" distR="0">
            <wp:extent cx="1981200" cy="352425"/>
            <wp:effectExtent l="0" t="0" r="0" b="9525"/>
            <wp:docPr id="13" name="Рисунок 13" descr="Погрешность базирования: понятие, методики, форму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грешность базирования: понятие, методики, формулы"/>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1200" cy="352425"/>
                    </a:xfrm>
                    <a:prstGeom prst="rect">
                      <a:avLst/>
                    </a:prstGeom>
                    <a:noFill/>
                    <a:ln>
                      <a:noFill/>
                    </a:ln>
                  </pic:spPr>
                </pic:pic>
              </a:graphicData>
            </a:graphic>
          </wp:inline>
        </w:drawing>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где </w:t>
      </w:r>
      <w:proofErr w:type="spellStart"/>
      <w:r w:rsidRPr="00F8706F">
        <w:rPr>
          <w:rFonts w:ascii="Times New Roman" w:hAnsi="Times New Roman" w:cs="Times New Roman"/>
          <w:i/>
          <w:iCs/>
          <w:sz w:val="28"/>
          <w:szCs w:val="28"/>
          <w:bdr w:val="none" w:sz="0" w:space="0" w:color="auto" w:frame="1"/>
        </w:rPr>
        <w:t>δ</w:t>
      </w:r>
      <w:r w:rsidRPr="00F8706F">
        <w:rPr>
          <w:rFonts w:ascii="Times New Roman" w:hAnsi="Times New Roman" w:cs="Times New Roman"/>
          <w:i/>
          <w:iCs/>
          <w:sz w:val="28"/>
          <w:szCs w:val="28"/>
          <w:bdr w:val="none" w:sz="0" w:space="0" w:color="auto" w:frame="1"/>
          <w:vertAlign w:val="subscript"/>
        </w:rPr>
        <w:t>дет</w:t>
      </w:r>
      <w:proofErr w:type="spellEnd"/>
      <w:r w:rsidRPr="00F8706F">
        <w:rPr>
          <w:rFonts w:ascii="Times New Roman" w:hAnsi="Times New Roman" w:cs="Times New Roman"/>
          <w:i/>
          <w:iCs/>
          <w:sz w:val="28"/>
          <w:szCs w:val="28"/>
          <w:bdr w:val="none" w:sz="0" w:space="0" w:color="auto" w:frame="1"/>
        </w:rPr>
        <w:t> </w:t>
      </w:r>
      <w:r w:rsidRPr="00F8706F">
        <w:rPr>
          <w:rFonts w:ascii="Times New Roman" w:hAnsi="Times New Roman" w:cs="Times New Roman"/>
          <w:sz w:val="28"/>
          <w:szCs w:val="28"/>
        </w:rPr>
        <w:t xml:space="preserve"> — допуск на размер детали в данной операции по </w:t>
      </w:r>
      <w:proofErr w:type="spellStart"/>
      <w:r w:rsidRPr="00F8706F">
        <w:rPr>
          <w:rFonts w:ascii="Times New Roman" w:hAnsi="Times New Roman" w:cs="Times New Roman"/>
          <w:sz w:val="28"/>
          <w:szCs w:val="28"/>
        </w:rPr>
        <w:t>операционномуэскизу</w:t>
      </w:r>
      <w:proofErr w:type="spellEnd"/>
      <w:r w:rsidRPr="00F8706F">
        <w:rPr>
          <w:rFonts w:ascii="Times New Roman" w:hAnsi="Times New Roman" w:cs="Times New Roman"/>
          <w:sz w:val="28"/>
          <w:szCs w:val="28"/>
        </w:rPr>
        <w:t>;</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i/>
          <w:iCs/>
          <w:sz w:val="28"/>
          <w:szCs w:val="28"/>
          <w:bdr w:val="none" w:sz="0" w:space="0" w:color="auto" w:frame="1"/>
        </w:rPr>
        <w:t>δ</w:t>
      </w:r>
      <w:r w:rsidRPr="00F8706F">
        <w:rPr>
          <w:rFonts w:ascii="Times New Roman" w:hAnsi="Times New Roman" w:cs="Times New Roman"/>
          <w:i/>
          <w:iCs/>
          <w:sz w:val="28"/>
          <w:szCs w:val="28"/>
          <w:bdr w:val="none" w:sz="0" w:space="0" w:color="auto" w:frame="1"/>
          <w:vertAlign w:val="subscript"/>
        </w:rPr>
        <w:t>пр</w:t>
      </w:r>
      <w:r w:rsidRPr="00F8706F">
        <w:rPr>
          <w:rFonts w:ascii="Times New Roman" w:hAnsi="Times New Roman" w:cs="Times New Roman"/>
          <w:sz w:val="28"/>
          <w:szCs w:val="28"/>
        </w:rPr>
        <w:t> </w:t>
      </w:r>
      <w:proofErr w:type="gramStart"/>
      <w:r w:rsidRPr="00F8706F">
        <w:rPr>
          <w:rFonts w:ascii="Times New Roman" w:hAnsi="Times New Roman" w:cs="Times New Roman"/>
          <w:sz w:val="28"/>
          <w:szCs w:val="28"/>
        </w:rPr>
        <w:t>–д</w:t>
      </w:r>
      <w:proofErr w:type="gramEnd"/>
      <w:r w:rsidRPr="00F8706F">
        <w:rPr>
          <w:rFonts w:ascii="Times New Roman" w:hAnsi="Times New Roman" w:cs="Times New Roman"/>
          <w:sz w:val="28"/>
          <w:szCs w:val="28"/>
        </w:rPr>
        <w:t>опуск на неточность изготовления установочных элементов приспособления, влияющий на точность обработки;</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i/>
          <w:iCs/>
          <w:sz w:val="28"/>
          <w:szCs w:val="28"/>
          <w:bdr w:val="none" w:sz="0" w:space="0" w:color="auto" w:frame="1"/>
        </w:rPr>
        <w:t>Δ</w:t>
      </w:r>
      <w:proofErr w:type="gramStart"/>
      <w:r w:rsidRPr="00F8706F">
        <w:rPr>
          <w:rFonts w:ascii="Times New Roman" w:hAnsi="Times New Roman" w:cs="Times New Roman"/>
          <w:i/>
          <w:iCs/>
          <w:sz w:val="28"/>
          <w:szCs w:val="28"/>
          <w:bdr w:val="none" w:sz="0" w:space="0" w:color="auto" w:frame="1"/>
          <w:vertAlign w:val="subscript"/>
        </w:rPr>
        <w:t>обр</w:t>
      </w:r>
      <w:proofErr w:type="gramEnd"/>
      <w:r w:rsidRPr="00F8706F">
        <w:rPr>
          <w:rFonts w:ascii="Times New Roman" w:hAnsi="Times New Roman" w:cs="Times New Roman"/>
          <w:i/>
          <w:iCs/>
          <w:sz w:val="28"/>
          <w:szCs w:val="28"/>
          <w:bdr w:val="none" w:sz="0" w:space="0" w:color="auto" w:frame="1"/>
        </w:rPr>
        <w:t> </w:t>
      </w:r>
      <w:r w:rsidRPr="00F8706F">
        <w:rPr>
          <w:rFonts w:ascii="Times New Roman" w:hAnsi="Times New Roman" w:cs="Times New Roman"/>
          <w:sz w:val="28"/>
          <w:szCs w:val="28"/>
        </w:rPr>
        <w:t> – сумма погрешностей, зависящая от принятого метода обработки (экономическая точность);</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i/>
          <w:iCs/>
          <w:sz w:val="28"/>
          <w:szCs w:val="28"/>
          <w:bdr w:val="none" w:sz="0" w:space="0" w:color="auto" w:frame="1"/>
        </w:rPr>
        <w:t>ε</w:t>
      </w:r>
      <w:r w:rsidRPr="00F8706F">
        <w:rPr>
          <w:rFonts w:ascii="Times New Roman" w:hAnsi="Times New Roman" w:cs="Times New Roman"/>
          <w:i/>
          <w:iCs/>
          <w:sz w:val="28"/>
          <w:szCs w:val="28"/>
          <w:bdr w:val="none" w:sz="0" w:space="0" w:color="auto" w:frame="1"/>
          <w:vertAlign w:val="subscript"/>
        </w:rPr>
        <w:t>уст</w:t>
      </w:r>
      <w:r w:rsidRPr="00F8706F">
        <w:rPr>
          <w:rFonts w:ascii="Times New Roman" w:hAnsi="Times New Roman" w:cs="Times New Roman"/>
          <w:sz w:val="28"/>
          <w:szCs w:val="28"/>
        </w:rPr>
        <w:t> – погрешность установки.</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Из формулы можно определить допуск на соответствующий размер приспособления:</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noProof/>
          <w:sz w:val="28"/>
          <w:szCs w:val="28"/>
        </w:rPr>
        <w:drawing>
          <wp:inline distT="0" distB="0" distL="0" distR="0">
            <wp:extent cx="1981200" cy="352425"/>
            <wp:effectExtent l="0" t="0" r="0" b="9525"/>
            <wp:docPr id="7" name="Рисунок 7" descr="Погрешность базирования: понятие, методики, форму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грешность базирования: понятие, методики, формулы"/>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1200" cy="352425"/>
                    </a:xfrm>
                    <a:prstGeom prst="rect">
                      <a:avLst/>
                    </a:prstGeom>
                    <a:noFill/>
                    <a:ln>
                      <a:noFill/>
                    </a:ln>
                  </pic:spPr>
                </pic:pic>
              </a:graphicData>
            </a:graphic>
          </wp:inline>
        </w:drawing>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sz w:val="28"/>
          <w:szCs w:val="28"/>
        </w:rPr>
        <w:t>В практике проектирования приспособлений обычно принимают:</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noProof/>
          <w:sz w:val="28"/>
          <w:szCs w:val="28"/>
        </w:rPr>
        <w:drawing>
          <wp:inline distT="0" distB="0" distL="0" distR="0">
            <wp:extent cx="1066800" cy="352425"/>
            <wp:effectExtent l="0" t="0" r="0" b="9525"/>
            <wp:docPr id="14" name="Рисунок 14" descr="Погрешность базирования: понятие, методики, форму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грешность базирования: понятие, методики, формулы"/>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352425"/>
                    </a:xfrm>
                    <a:prstGeom prst="rect">
                      <a:avLst/>
                    </a:prstGeom>
                    <a:noFill/>
                    <a:ln>
                      <a:noFill/>
                    </a:ln>
                  </pic:spPr>
                </pic:pic>
              </a:graphicData>
            </a:graphic>
          </wp:inline>
        </w:drawing>
      </w:r>
      <w:r w:rsidRPr="00F8706F">
        <w:rPr>
          <w:rFonts w:ascii="Times New Roman" w:hAnsi="Times New Roman" w:cs="Times New Roman"/>
          <w:sz w:val="28"/>
          <w:szCs w:val="28"/>
        </w:rPr>
        <w:t>, тогда</w:t>
      </w:r>
      <w:r w:rsidRPr="00F8706F">
        <w:rPr>
          <w:rFonts w:ascii="Times New Roman" w:hAnsi="Times New Roman" w:cs="Times New Roman"/>
          <w:noProof/>
          <w:sz w:val="28"/>
          <w:szCs w:val="28"/>
        </w:rPr>
        <w:drawing>
          <wp:inline distT="0" distB="0" distL="0" distR="0">
            <wp:extent cx="1800225" cy="371475"/>
            <wp:effectExtent l="0" t="0" r="9525" b="9525"/>
            <wp:docPr id="15" name="Рисунок 15" descr="Погрешность базирования: понятие, методики, форму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грешность базирования: понятие, методики, формулы"/>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0225" cy="371475"/>
                    </a:xfrm>
                    <a:prstGeom prst="rect">
                      <a:avLst/>
                    </a:prstGeom>
                    <a:noFill/>
                    <a:ln>
                      <a:noFill/>
                    </a:ln>
                  </pic:spPr>
                </pic:pic>
              </a:graphicData>
            </a:graphic>
          </wp:inline>
        </w:drawing>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i/>
          <w:iCs/>
          <w:sz w:val="28"/>
          <w:szCs w:val="28"/>
          <w:bdr w:val="none" w:sz="0" w:space="0" w:color="auto" w:frame="1"/>
        </w:rPr>
        <w:t>Δ</w:t>
      </w:r>
      <w:proofErr w:type="gramStart"/>
      <w:r w:rsidRPr="00F8706F">
        <w:rPr>
          <w:rFonts w:ascii="Times New Roman" w:hAnsi="Times New Roman" w:cs="Times New Roman"/>
          <w:i/>
          <w:iCs/>
          <w:sz w:val="28"/>
          <w:szCs w:val="28"/>
          <w:bdr w:val="none" w:sz="0" w:space="0" w:color="auto" w:frame="1"/>
          <w:vertAlign w:val="subscript"/>
        </w:rPr>
        <w:t>обр</w:t>
      </w:r>
      <w:proofErr w:type="gramEnd"/>
      <w:r w:rsidRPr="00F8706F">
        <w:rPr>
          <w:rFonts w:ascii="Times New Roman" w:hAnsi="Times New Roman" w:cs="Times New Roman"/>
          <w:i/>
          <w:iCs/>
          <w:sz w:val="28"/>
          <w:szCs w:val="28"/>
          <w:bdr w:val="none" w:sz="0" w:space="0" w:color="auto" w:frame="1"/>
        </w:rPr>
        <w:t> </w:t>
      </w:r>
      <w:r w:rsidRPr="00F8706F">
        <w:rPr>
          <w:rFonts w:ascii="Times New Roman" w:hAnsi="Times New Roman" w:cs="Times New Roman"/>
          <w:sz w:val="28"/>
          <w:szCs w:val="28"/>
        </w:rPr>
        <w:t> – можно принять по таблицам средней экономической точности, составленным на основании статических данных;</w:t>
      </w:r>
    </w:p>
    <w:p w:rsidR="00F8706F" w:rsidRPr="00F8706F" w:rsidRDefault="00F8706F" w:rsidP="00F8706F">
      <w:pPr>
        <w:jc w:val="both"/>
        <w:rPr>
          <w:rFonts w:ascii="Times New Roman" w:hAnsi="Times New Roman" w:cs="Times New Roman"/>
          <w:sz w:val="28"/>
          <w:szCs w:val="28"/>
        </w:rPr>
      </w:pPr>
      <w:r w:rsidRPr="00F8706F">
        <w:rPr>
          <w:rFonts w:ascii="Times New Roman" w:hAnsi="Times New Roman" w:cs="Times New Roman"/>
          <w:i/>
          <w:iCs/>
          <w:sz w:val="28"/>
          <w:szCs w:val="28"/>
          <w:bdr w:val="none" w:sz="0" w:space="0" w:color="auto" w:frame="1"/>
        </w:rPr>
        <w:t>ε</w:t>
      </w:r>
      <w:r w:rsidRPr="00F8706F">
        <w:rPr>
          <w:rFonts w:ascii="Times New Roman" w:hAnsi="Times New Roman" w:cs="Times New Roman"/>
          <w:i/>
          <w:iCs/>
          <w:sz w:val="28"/>
          <w:szCs w:val="28"/>
          <w:bdr w:val="none" w:sz="0" w:space="0" w:color="auto" w:frame="1"/>
          <w:vertAlign w:val="subscript"/>
        </w:rPr>
        <w:t>уст</w:t>
      </w:r>
      <w:r w:rsidRPr="00F8706F">
        <w:rPr>
          <w:rFonts w:ascii="Times New Roman" w:hAnsi="Times New Roman" w:cs="Times New Roman"/>
          <w:sz w:val="28"/>
          <w:szCs w:val="28"/>
        </w:rPr>
        <w:t> – определяется на основании схемы базирования заготовок, величины погрешностей базирования и закрепления приводятся в справочной литературе.</w:t>
      </w:r>
    </w:p>
    <w:p w:rsidR="00F8706F" w:rsidRDefault="00F8706F" w:rsidP="00F8706F"/>
    <w:p w:rsidR="006B565D" w:rsidRPr="00F8706F" w:rsidRDefault="006B565D" w:rsidP="00F8706F"/>
    <w:sectPr w:rsidR="006B565D" w:rsidRPr="00F8706F" w:rsidSect="00E072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040DA"/>
    <w:rsid w:val="001040DA"/>
    <w:rsid w:val="006B565D"/>
    <w:rsid w:val="00841CCF"/>
    <w:rsid w:val="00882F98"/>
    <w:rsid w:val="00E07274"/>
    <w:rsid w:val="00F870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2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40DA"/>
    <w:pPr>
      <w:shd w:val="clear" w:color="auto" w:fill="FFFFFF"/>
      <w:spacing w:before="100" w:beforeAutospacing="1" w:after="100" w:afterAutospacing="1" w:line="240" w:lineRule="auto"/>
      <w:jc w:val="both"/>
    </w:pPr>
    <w:rPr>
      <w:rFonts w:ascii="Times New Roman" w:eastAsia="Times New Roman" w:hAnsi="Times New Roman" w:cs="Times New Roman"/>
      <w:color w:val="000000"/>
      <w:sz w:val="24"/>
      <w:szCs w:val="24"/>
    </w:rPr>
  </w:style>
  <w:style w:type="paragraph" w:styleId="a4">
    <w:name w:val="Balloon Text"/>
    <w:basedOn w:val="a"/>
    <w:link w:val="a5"/>
    <w:uiPriority w:val="99"/>
    <w:semiHidden/>
    <w:unhideWhenUsed/>
    <w:rsid w:val="001040D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40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879</Words>
  <Characters>5013</Characters>
  <Application>Microsoft Office Word</Application>
  <DocSecurity>0</DocSecurity>
  <Lines>41</Lines>
  <Paragraphs>11</Paragraphs>
  <ScaleCrop>false</ScaleCrop>
  <Company/>
  <LinksUpToDate>false</LinksUpToDate>
  <CharactersWithSpaces>5881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dc:creator>
  <cp:keywords/>
  <dc:description/>
  <cp:lastModifiedBy>Препод</cp:lastModifiedBy>
  <cp:revision>4</cp:revision>
  <dcterms:created xsi:type="dcterms:W3CDTF">2024-10-09T15:23:00Z</dcterms:created>
  <dcterms:modified xsi:type="dcterms:W3CDTF">2024-10-10T17:05:00Z</dcterms:modified>
</cp:coreProperties>
</file>